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F49EB" w14:textId="77777777" w:rsidR="004C5E2C" w:rsidRDefault="004C5E2C" w:rsidP="00D7284F">
      <w:r>
        <w:rPr>
          <w:rStyle w:val="ckereset"/>
          <w:noProof/>
        </w:rPr>
        <w:drawing>
          <wp:anchor distT="0" distB="0" distL="114300" distR="114300" simplePos="0" relativeHeight="251658240" behindDoc="0" locked="0" layoutInCell="1" allowOverlap="1" wp14:anchorId="263DD120" wp14:editId="7ECC2951">
            <wp:simplePos x="0" y="0"/>
            <wp:positionH relativeFrom="margin">
              <wp:posOffset>1466850</wp:posOffset>
            </wp:positionH>
            <wp:positionV relativeFrom="paragraph">
              <wp:posOffset>-295275</wp:posOffset>
            </wp:positionV>
            <wp:extent cx="2800350" cy="1467491"/>
            <wp:effectExtent l="0" t="0" r="0" b="0"/>
            <wp:wrapNone/>
            <wp:docPr id="19341141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309" cy="147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750">
        <w:t>​</w:t>
      </w:r>
    </w:p>
    <w:p w14:paraId="733ECAE9" w14:textId="77777777" w:rsidR="004C5E2C" w:rsidRDefault="004C5E2C" w:rsidP="00D7284F"/>
    <w:p w14:paraId="2319911A" w14:textId="77777777" w:rsidR="004C5E2C" w:rsidRDefault="004C5E2C" w:rsidP="00D7284F"/>
    <w:p w14:paraId="07E6BDE1" w14:textId="77777777" w:rsidR="004C5E2C" w:rsidRDefault="004C5E2C" w:rsidP="00D7284F"/>
    <w:p w14:paraId="7DA70F00" w14:textId="77777777" w:rsidR="004C5E2C" w:rsidRDefault="004C5E2C" w:rsidP="00D7284F">
      <w:pPr>
        <w:rPr>
          <w:b/>
          <w:bCs/>
        </w:rPr>
      </w:pPr>
    </w:p>
    <w:p w14:paraId="2DD9BC56" w14:textId="77777777" w:rsidR="009A0CB1" w:rsidRDefault="009A0CB1" w:rsidP="00D7284F">
      <w:pPr>
        <w:rPr>
          <w:b/>
          <w:bCs/>
        </w:rPr>
      </w:pPr>
      <w:r w:rsidRPr="009A0CB1">
        <w:rPr>
          <w:b/>
          <w:bCs/>
        </w:rPr>
        <w:t xml:space="preserve">Exploring the Nexus of AAAs and </w:t>
      </w:r>
      <w:proofErr w:type="spellStart"/>
      <w:r w:rsidRPr="009A0CB1">
        <w:rPr>
          <w:b/>
          <w:bCs/>
        </w:rPr>
        <w:t>MyCare</w:t>
      </w:r>
      <w:proofErr w:type="spellEnd"/>
      <w:r w:rsidRPr="009A0CB1">
        <w:rPr>
          <w:b/>
          <w:bCs/>
        </w:rPr>
        <w:t xml:space="preserve"> Conversion: Advancements in Integrated Health and Social Care Systems</w:t>
      </w:r>
    </w:p>
    <w:p w14:paraId="6D53BA41" w14:textId="4A836580" w:rsidR="00D7284F" w:rsidRPr="00487C1F" w:rsidRDefault="00D7284F" w:rsidP="00D7284F">
      <w:pPr>
        <w:rPr>
          <w:b/>
          <w:bCs/>
          <w:u w:val="single"/>
        </w:rPr>
      </w:pPr>
      <w:r>
        <w:rPr>
          <w:b/>
          <w:bCs/>
          <w:u w:val="single"/>
        </w:rPr>
        <w:t>Summary:</w:t>
      </w:r>
    </w:p>
    <w:p w14:paraId="383B569E" w14:textId="0C6C6247" w:rsidR="009A0CB1" w:rsidRDefault="009A0CB1" w:rsidP="009A0CB1">
      <w:r>
        <w:t xml:space="preserve">The healthcare landscape is currently experiencing a transformative shift, particularly focusing on integrated health and social care systems designed to offer comprehensive and person-centered services. This workshop aims to investigate the potential role(s) of Area Agencies on Aging (AAA's) and their integration within the innovative </w:t>
      </w:r>
      <w:proofErr w:type="spellStart"/>
      <w:r>
        <w:t>MyCare</w:t>
      </w:r>
      <w:proofErr w:type="spellEnd"/>
      <w:r>
        <w:t xml:space="preserve"> conversion system scheduled for implementation in January 2026. Additionally, the workshop will examine the U.S. Playbook’s Pillars for Addressing Social Determinants of Health. </w:t>
      </w:r>
    </w:p>
    <w:p w14:paraId="3FB414DD" w14:textId="5776B5F3" w:rsidR="00D7284F" w:rsidRDefault="009A0CB1" w:rsidP="009A0CB1">
      <w:r>
        <w:t xml:space="preserve">The workshop aims to provide a platform for informing participants about best practices in advancing integrated health and social care systems, with a specific focus on the potential of the </w:t>
      </w:r>
      <w:proofErr w:type="spellStart"/>
      <w:r>
        <w:t>MyCare</w:t>
      </w:r>
      <w:proofErr w:type="spellEnd"/>
      <w:r>
        <w:t xml:space="preserve"> conversion initiative.</w:t>
      </w:r>
    </w:p>
    <w:p w14:paraId="7A912F4F" w14:textId="77777777" w:rsidR="00D7284F" w:rsidRPr="00487C1F" w:rsidRDefault="00D7284F" w:rsidP="00D7284F">
      <w:pPr>
        <w:rPr>
          <w:b/>
          <w:bCs/>
          <w:u w:val="single"/>
        </w:rPr>
      </w:pPr>
      <w:r w:rsidRPr="00487C1F">
        <w:rPr>
          <w:b/>
          <w:bCs/>
          <w:u w:val="single"/>
        </w:rPr>
        <w:t>Learning Objectives:</w:t>
      </w:r>
    </w:p>
    <w:p w14:paraId="4DA9E02A" w14:textId="15D628F1" w:rsidR="00495750" w:rsidRDefault="003D3078" w:rsidP="003D3078">
      <w:pPr>
        <w:pStyle w:val="ListParagraph"/>
        <w:numPr>
          <w:ilvl w:val="0"/>
          <w:numId w:val="1"/>
        </w:numPr>
      </w:pPr>
      <w:r w:rsidRPr="003D3078">
        <w:t xml:space="preserve">Explore the Evolving Role of AAA's in </w:t>
      </w:r>
      <w:proofErr w:type="spellStart"/>
      <w:r w:rsidRPr="003D3078">
        <w:t>MyCare</w:t>
      </w:r>
      <w:proofErr w:type="spellEnd"/>
      <w:r w:rsidRPr="003D3078">
        <w:t xml:space="preserve"> Conversion: Investigate the dynamic role(s) of Area Agencies on Aging (AAA's) with the most current information on the redesigned </w:t>
      </w:r>
      <w:proofErr w:type="spellStart"/>
      <w:r w:rsidRPr="003D3078">
        <w:t>MyCare</w:t>
      </w:r>
      <w:proofErr w:type="spellEnd"/>
      <w:r w:rsidRPr="003D3078">
        <w:t xml:space="preserve"> Ohio program</w:t>
      </w:r>
    </w:p>
    <w:p w14:paraId="53EA6E4D" w14:textId="41B54F0F" w:rsidR="003D3078" w:rsidRDefault="003D3078" w:rsidP="003D3078">
      <w:pPr>
        <w:pStyle w:val="ListParagraph"/>
        <w:numPr>
          <w:ilvl w:val="0"/>
          <w:numId w:val="1"/>
        </w:numPr>
      </w:pPr>
      <w:r w:rsidRPr="003D3078">
        <w:t xml:space="preserve">Disseminate information about effective strategies and best practices associated with the </w:t>
      </w:r>
      <w:proofErr w:type="spellStart"/>
      <w:r w:rsidRPr="003D3078">
        <w:t>MyCare</w:t>
      </w:r>
      <w:proofErr w:type="spellEnd"/>
      <w:r w:rsidRPr="003D3078">
        <w:t xml:space="preserve"> conversion initiative</w:t>
      </w:r>
    </w:p>
    <w:p w14:paraId="100C4F2A" w14:textId="166DE0DB" w:rsidR="003D3078" w:rsidRDefault="003D3078" w:rsidP="003D3078">
      <w:pPr>
        <w:pStyle w:val="ListParagraph"/>
        <w:numPr>
          <w:ilvl w:val="0"/>
          <w:numId w:val="1"/>
        </w:numPr>
      </w:pPr>
      <w:r w:rsidRPr="003D3078">
        <w:t>Examine Ongoing Trends in Integrated Health and Social Care</w:t>
      </w:r>
    </w:p>
    <w:p w14:paraId="1AE58ECF" w14:textId="3377B08E" w:rsidR="003D3078" w:rsidRDefault="003D3078" w:rsidP="003D3078">
      <w:pPr>
        <w:pStyle w:val="ListParagraph"/>
        <w:numPr>
          <w:ilvl w:val="0"/>
          <w:numId w:val="1"/>
        </w:numPr>
      </w:pPr>
      <w:r w:rsidRPr="003D3078">
        <w:t>Discuss and analyze the U.S. Playbook’s Pillars for Addressing Social Determinants of Health, with a focus on regulatory proposals and rule changes supporting social care integration within the broader healthcare framework</w:t>
      </w:r>
    </w:p>
    <w:sectPr w:rsidR="003D3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16AD9"/>
    <w:multiLevelType w:val="hybridMultilevel"/>
    <w:tmpl w:val="9C1E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43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50"/>
    <w:rsid w:val="003D3078"/>
    <w:rsid w:val="00495750"/>
    <w:rsid w:val="004C5E2C"/>
    <w:rsid w:val="008F74E8"/>
    <w:rsid w:val="009A0CB1"/>
    <w:rsid w:val="00A33A19"/>
    <w:rsid w:val="00CA5E5A"/>
    <w:rsid w:val="00D7284F"/>
    <w:rsid w:val="00E5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37F3"/>
  <w15:chartTrackingRefBased/>
  <w15:docId w15:val="{8D6494B0-C986-41D1-AA08-5C2A6A48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4F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750"/>
    <w:rPr>
      <w:b/>
      <w:bCs/>
      <w:smallCaps/>
      <w:color w:val="0F4761" w:themeColor="accent1" w:themeShade="BF"/>
      <w:spacing w:val="5"/>
    </w:rPr>
  </w:style>
  <w:style w:type="character" w:customStyle="1" w:styleId="ckereset">
    <w:name w:val="cke_reset"/>
    <w:basedOn w:val="DefaultParagraphFont"/>
    <w:rsid w:val="00495750"/>
  </w:style>
  <w:style w:type="character" w:customStyle="1" w:styleId="ckeimageresizer">
    <w:name w:val="cke_image_resizer"/>
    <w:basedOn w:val="DefaultParagraphFont"/>
    <w:rsid w:val="0049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Smith</dc:creator>
  <cp:keywords/>
  <dc:description/>
  <cp:lastModifiedBy>Lori Smith</cp:lastModifiedBy>
  <cp:revision>4</cp:revision>
  <dcterms:created xsi:type="dcterms:W3CDTF">2024-07-01T21:08:00Z</dcterms:created>
  <dcterms:modified xsi:type="dcterms:W3CDTF">2024-07-01T21:09:00Z</dcterms:modified>
</cp:coreProperties>
</file>